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247F40" w14:textId="467F8EE3" w:rsidR="00C45B94" w:rsidRPr="00CE365B" w:rsidRDefault="000B4967" w:rsidP="00CE365B">
      <w:pPr>
        <w:spacing w:before="120" w:after="120"/>
        <w:ind w:leftChars="0" w:left="0" w:firstLineChars="0" w:firstLine="0"/>
        <w:jc w:val="center"/>
      </w:pPr>
      <w:r w:rsidRPr="00CE365B">
        <w:rPr>
          <w:b/>
        </w:rPr>
        <w:t xml:space="preserve">DOCUMENTO DE </w:t>
      </w:r>
      <w:r w:rsidR="00324685" w:rsidRPr="00CE365B">
        <w:rPr>
          <w:b/>
        </w:rPr>
        <w:t>OFICIALIZAÇÃO</w:t>
      </w:r>
      <w:r w:rsidRPr="00CE365B">
        <w:rPr>
          <w:b/>
        </w:rPr>
        <w:t xml:space="preserve"> DA DEMANDA</w:t>
      </w:r>
      <w:r w:rsidR="00E0137A" w:rsidRPr="00CE365B">
        <w:rPr>
          <w:b/>
        </w:rPr>
        <w:t xml:space="preserve"> - DOD</w:t>
      </w:r>
    </w:p>
    <w:p w14:paraId="31328E3F" w14:textId="77777777" w:rsidR="00C45B94" w:rsidRPr="00BD37FB" w:rsidRDefault="00C45B94">
      <w:pPr>
        <w:spacing w:after="0"/>
        <w:jc w:val="center"/>
        <w:rPr>
          <w:color w:val="FF0000"/>
          <w:sz w:val="12"/>
          <w:szCs w:val="12"/>
        </w:rPr>
      </w:pPr>
    </w:p>
    <w:tbl>
      <w:tblPr>
        <w:tblW w:w="1063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50"/>
        <w:gridCol w:w="3588"/>
      </w:tblGrid>
      <w:tr w:rsidR="00C45B94" w:rsidRPr="00B44E27" w14:paraId="24948A76" w14:textId="77777777" w:rsidTr="00CE365B">
        <w:trPr>
          <w:jc w:val="center"/>
        </w:trPr>
        <w:tc>
          <w:tcPr>
            <w:tcW w:w="10638" w:type="dxa"/>
            <w:gridSpan w:val="2"/>
            <w:shd w:val="clear" w:color="auto" w:fill="149B55"/>
          </w:tcPr>
          <w:p w14:paraId="7B87D21D" w14:textId="7E1C91FC" w:rsidR="00C45B94" w:rsidRPr="00B44E27" w:rsidRDefault="007D57C5" w:rsidP="008E7489">
            <w:pPr>
              <w:pStyle w:val="Corpodetexto"/>
              <w:ind w:hanging="2"/>
              <w:rPr>
                <w:rFonts w:ascii="Calibri" w:hAnsi="Calibri" w:cs="Calibri"/>
                <w:b/>
                <w:bCs/>
                <w:sz w:val="20"/>
                <w:szCs w:val="20"/>
                <w:lang w:val="pt-BR"/>
              </w:rPr>
            </w:pPr>
            <w:r w:rsidRPr="00B44E27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Centro </w:t>
            </w:r>
            <w:r w:rsidR="00BC02DB" w:rsidRPr="00B44E27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0"/>
                <w:szCs w:val="20"/>
              </w:rPr>
              <w:t>Licitante:</w:t>
            </w:r>
            <w:r w:rsidR="008E7489" w:rsidRPr="00B44E27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sdt>
              <w:sdtPr>
                <w:rPr>
                  <w:rFonts w:ascii="Calibri" w:hAnsi="Calibri" w:cs="Calibri"/>
                  <w:color w:val="FFFFFF" w:themeColor="background1"/>
                  <w:sz w:val="20"/>
                  <w:szCs w:val="20"/>
                  <w:lang w:val="pt-BR"/>
                </w:rPr>
                <w:alias w:val="Centro da Compra Direta"/>
                <w:tag w:val="Centro da Compra Direta"/>
                <w:id w:val="-1371139116"/>
                <w:placeholder>
                  <w:docPart w:val="C73FC01C7AAB42B7BE08E60EBC12860A"/>
                </w:placeholder>
                <w15:color w:val="FF6600"/>
                <w:dropDownList>
                  <w:listItem w:value="Escolher um item."/>
                  <w:listItem w:displayText="Coordenadoria de Licitações e Compras da Reitoria" w:value="Coordenadoria de Licitações e Compras da Reitoria"/>
                  <w:listItem w:displayText="Centro de Ciências Tecnológicas - CCT" w:value="Centro de Ciências Tecnológicas - CCT"/>
                  <w:listItem w:displayText="Centro de Ciências Agroveterinárias - CAV" w:value="Centro de Ciências Agroveterinárias - CAV"/>
                  <w:listItem w:displayText="Centro de Educação do Planalto Norte - CEPLAN" w:value="Centro de Educação do Planalto Norte - CEPLAN"/>
                  <w:listItem w:displayText="Centro de Educação Superior do Oeste - CEO" w:value="Centro de Educação Superior do Oeste - CEO"/>
                  <w:listItem w:displayText="Centro de Educação Superior do Alto Vale do Itajaí - CEAVI" w:value="Centro de Educação Superior do Alto Vale do Itajaí - CEAVI"/>
                  <w:listItem w:displayText="Centro de Educação Superior da Região Sul - CERES" w:value="Centro de Educação Superior da Região Sul - CERES"/>
                  <w:listItem w:displayText="Centro de Educação Superior da Foz do Itajaí - CESFI" w:value="Centro de Educação Superior da Foz do Itajaí - CESFI"/>
                  <w:listItem w:displayText="Centro de Artes, Design e Moda - CEART" w:value="Centro de Artes, Design e Moda - CEART"/>
                  <w:listItem w:displayText="Centro de Ciências da Saúde e do Esporte - CEFID" w:value="Centro de Ciências da Saúde e do Esporte - CEFID"/>
                  <w:listItem w:displayText="Centro de Ciências da Administração e Socioeconômicas - ESAG" w:value="Centro de Ciências da Administração e Socioeconômicas - ESAG"/>
                  <w:listItem w:displayText="Centro de Ciências Humanas e da Educação - FAED" w:value="Centro de Ciências Humanas e da Educação - FAED"/>
                  <w:listItem w:displayText="Centro de Educação a Distância - CEAD" w:value="Centro de Educação a Distância - CEAD"/>
                  <w:listItem w:displayText="Centro de Educação Superior do Meio Oeste - CESMO" w:value="Centro de Educação Superior do Meio Oeste - CESMO"/>
                </w:dropDownList>
              </w:sdtPr>
              <w:sdtEndPr/>
              <w:sdtContent>
                <w:r w:rsidR="008D4061" w:rsidRPr="00B44E27">
                  <w:rPr>
                    <w:rFonts w:ascii="Calibri" w:hAnsi="Calibri" w:cs="Calibri"/>
                    <w:color w:val="FFFFFF" w:themeColor="background1"/>
                    <w:sz w:val="20"/>
                    <w:szCs w:val="20"/>
                    <w:lang w:val="pt-BR"/>
                  </w:rPr>
                  <w:t>Centro de Ciências Tecnológicas - CCT</w:t>
                </w:r>
              </w:sdtContent>
            </w:sdt>
          </w:p>
        </w:tc>
      </w:tr>
      <w:tr w:rsidR="00C45B94" w:rsidRPr="00B44E27" w14:paraId="6BAFF9A2" w14:textId="77777777" w:rsidTr="00784355">
        <w:trPr>
          <w:jc w:val="center"/>
        </w:trPr>
        <w:tc>
          <w:tcPr>
            <w:tcW w:w="7050" w:type="dxa"/>
            <w:shd w:val="clear" w:color="auto" w:fill="auto"/>
          </w:tcPr>
          <w:p w14:paraId="1B6A653F" w14:textId="77777777" w:rsidR="00C45B94" w:rsidRPr="00B44E27" w:rsidRDefault="000B4967" w:rsidP="00FC176B">
            <w:pPr>
              <w:spacing w:after="0"/>
              <w:ind w:left="0" w:hanging="2"/>
              <w:rPr>
                <w:b/>
                <w:bCs/>
                <w:sz w:val="20"/>
                <w:szCs w:val="20"/>
              </w:rPr>
            </w:pPr>
            <w:r w:rsidRPr="00B44E27">
              <w:rPr>
                <w:b/>
                <w:bCs/>
                <w:sz w:val="20"/>
                <w:szCs w:val="20"/>
              </w:rPr>
              <w:t>Responsáve</w:t>
            </w:r>
            <w:r w:rsidR="008E7489" w:rsidRPr="00B44E27">
              <w:rPr>
                <w:b/>
                <w:bCs/>
                <w:sz w:val="20"/>
                <w:szCs w:val="20"/>
              </w:rPr>
              <w:t>is</w:t>
            </w:r>
            <w:r w:rsidRPr="00B44E27">
              <w:rPr>
                <w:b/>
                <w:bCs/>
                <w:sz w:val="20"/>
                <w:szCs w:val="20"/>
              </w:rPr>
              <w:t xml:space="preserve"> pela Demanda: </w:t>
            </w:r>
          </w:p>
          <w:p w14:paraId="7190A84E" w14:textId="263D2EEF" w:rsidR="0098196F" w:rsidRPr="00B44E27" w:rsidRDefault="008D4061" w:rsidP="0098196F">
            <w:pPr>
              <w:pStyle w:val="PargrafodaLista"/>
              <w:numPr>
                <w:ilvl w:val="0"/>
                <w:numId w:val="3"/>
              </w:numPr>
              <w:spacing w:after="0"/>
              <w:ind w:leftChars="0" w:firstLineChars="0"/>
              <w:rPr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Daniela Becker</w:t>
            </w:r>
          </w:p>
        </w:tc>
        <w:tc>
          <w:tcPr>
            <w:tcW w:w="3588" w:type="dxa"/>
            <w:shd w:val="clear" w:color="auto" w:fill="auto"/>
          </w:tcPr>
          <w:p w14:paraId="34F5CF20" w14:textId="77777777" w:rsidR="00C45B94" w:rsidRPr="00B44E27" w:rsidRDefault="000B4967" w:rsidP="00FC176B">
            <w:pPr>
              <w:spacing w:after="0"/>
              <w:ind w:left="0" w:hanging="2"/>
              <w:rPr>
                <w:b/>
                <w:bCs/>
                <w:sz w:val="20"/>
                <w:szCs w:val="20"/>
              </w:rPr>
            </w:pPr>
            <w:r w:rsidRPr="00B44E27">
              <w:rPr>
                <w:b/>
                <w:bCs/>
                <w:sz w:val="20"/>
                <w:szCs w:val="20"/>
              </w:rPr>
              <w:t xml:space="preserve">Matrícula: </w:t>
            </w:r>
          </w:p>
          <w:p w14:paraId="5595B790" w14:textId="1B7B9A17" w:rsidR="008D4061" w:rsidRPr="00B44E27" w:rsidRDefault="002211A8" w:rsidP="00FC176B">
            <w:pPr>
              <w:spacing w:after="0"/>
              <w:ind w:left="0" w:hanging="2"/>
              <w:rPr>
                <w:b/>
                <w:bCs/>
                <w:sz w:val="20"/>
                <w:szCs w:val="20"/>
              </w:rPr>
            </w:pPr>
            <w:r w:rsidRPr="00B44E27">
              <w:rPr>
                <w:color w:val="000000"/>
                <w:sz w:val="20"/>
                <w:szCs w:val="20"/>
                <w:shd w:val="clear" w:color="auto" w:fill="FFFFFF"/>
              </w:rPr>
              <w:t>381</w:t>
            </w:r>
            <w:r w:rsidR="005E7E9D" w:rsidRPr="00B44E27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B44E27">
              <w:rPr>
                <w:color w:val="000000"/>
                <w:sz w:val="20"/>
                <w:szCs w:val="20"/>
                <w:shd w:val="clear" w:color="auto" w:fill="FFFFFF"/>
              </w:rPr>
              <w:t>926-4</w:t>
            </w:r>
            <w:r w:rsidR="001B11CA" w:rsidRPr="00B44E27">
              <w:rPr>
                <w:color w:val="000000"/>
                <w:sz w:val="20"/>
                <w:szCs w:val="20"/>
                <w:shd w:val="clear" w:color="auto" w:fill="FFFFFF"/>
              </w:rPr>
              <w:t>-</w:t>
            </w:r>
            <w:r w:rsidRPr="00B44E27">
              <w:rPr>
                <w:color w:val="000000"/>
                <w:sz w:val="20"/>
                <w:szCs w:val="20"/>
                <w:shd w:val="clear" w:color="auto" w:fill="FFFFFF"/>
              </w:rPr>
              <w:t>02</w:t>
            </w:r>
          </w:p>
        </w:tc>
      </w:tr>
      <w:tr w:rsidR="0098196F" w:rsidRPr="00B44E27" w14:paraId="3382EDB7" w14:textId="77777777" w:rsidTr="008C71BE">
        <w:trPr>
          <w:jc w:val="center"/>
        </w:trPr>
        <w:tc>
          <w:tcPr>
            <w:tcW w:w="1063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DB06797" w14:textId="175A9491" w:rsidR="0098196F" w:rsidRPr="00B44E27" w:rsidRDefault="0098196F" w:rsidP="0066077E">
            <w:pPr>
              <w:spacing w:after="0"/>
              <w:ind w:left="0" w:hanging="2"/>
              <w:rPr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E-mail:</w:t>
            </w:r>
            <w:r w:rsidRPr="00B44E27">
              <w:rPr>
                <w:b/>
                <w:bCs/>
                <w:sz w:val="20"/>
                <w:szCs w:val="20"/>
              </w:rPr>
              <w:t xml:space="preserve"> </w:t>
            </w:r>
            <w:r w:rsidR="0066077E" w:rsidRPr="0066077E">
              <w:rPr>
                <w:bCs/>
                <w:sz w:val="20"/>
                <w:szCs w:val="20"/>
              </w:rPr>
              <w:t>daniela.becker@udesc.br</w:t>
            </w:r>
          </w:p>
        </w:tc>
      </w:tr>
      <w:tr w:rsidR="00C45B94" w:rsidRPr="00B44E27" w14:paraId="5D167780" w14:textId="77777777" w:rsidTr="006A3B91">
        <w:trPr>
          <w:jc w:val="center"/>
        </w:trPr>
        <w:tc>
          <w:tcPr>
            <w:tcW w:w="10638" w:type="dxa"/>
            <w:gridSpan w:val="2"/>
            <w:tcBorders>
              <w:top w:val="single" w:sz="4" w:space="0" w:color="000000"/>
            </w:tcBorders>
            <w:shd w:val="clear" w:color="auto" w:fill="149B55"/>
          </w:tcPr>
          <w:p w14:paraId="25CA4DC6" w14:textId="77777777" w:rsidR="00C45B94" w:rsidRPr="00B44E27" w:rsidRDefault="000B4967" w:rsidP="00FF3074">
            <w:pPr>
              <w:spacing w:after="0"/>
              <w:ind w:left="0" w:hanging="2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t>1.</w:t>
            </w:r>
            <w:r w:rsidRPr="00B44E27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="00FF3074" w:rsidRPr="00B44E27">
              <w:rPr>
                <w:b/>
                <w:color w:val="FFFFFF" w:themeColor="background1"/>
                <w:sz w:val="20"/>
                <w:szCs w:val="20"/>
              </w:rPr>
              <w:t>Objeto</w:t>
            </w:r>
          </w:p>
        </w:tc>
      </w:tr>
      <w:tr w:rsidR="00FF3074" w:rsidRPr="00B44E27" w14:paraId="5CE175BC" w14:textId="77777777" w:rsidTr="00BD37FB">
        <w:trPr>
          <w:trHeight w:val="603"/>
          <w:jc w:val="center"/>
        </w:trPr>
        <w:tc>
          <w:tcPr>
            <w:tcW w:w="1063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7A5F602D" w14:textId="07944A25" w:rsidR="0098196F" w:rsidRPr="00B44E27" w:rsidRDefault="008D4061" w:rsidP="0098196F">
            <w:pPr>
              <w:spacing w:after="0"/>
              <w:ind w:leftChars="0" w:left="0" w:firstLineChars="0" w:firstLine="0"/>
              <w:rPr>
                <w:color w:val="548DD4"/>
                <w:sz w:val="20"/>
                <w:szCs w:val="20"/>
              </w:rPr>
            </w:pPr>
            <w:bookmarkStart w:id="0" w:name="__DdeLink__11544_1029268004"/>
            <w:r w:rsidRPr="00B44E27">
              <w:rPr>
                <w:bCs/>
                <w:iCs/>
                <w:sz w:val="20"/>
                <w:szCs w:val="20"/>
              </w:rPr>
              <w:t>Aquisição de</w:t>
            </w:r>
            <w:bookmarkEnd w:id="0"/>
            <w:r w:rsidRPr="00B44E27">
              <w:rPr>
                <w:bCs/>
                <w:iCs/>
                <w:sz w:val="20"/>
                <w:szCs w:val="20"/>
              </w:rPr>
              <w:t xml:space="preserve"> nitrogênio líquido </w:t>
            </w:r>
            <w:r w:rsidR="008517B5">
              <w:rPr>
                <w:bCs/>
                <w:iCs/>
                <w:sz w:val="20"/>
                <w:szCs w:val="20"/>
              </w:rPr>
              <w:t>destinado ao Centro de Ensino CCT da UDESC para o ano 2025.</w:t>
            </w:r>
          </w:p>
          <w:p w14:paraId="331C39C8" w14:textId="77777777" w:rsidR="00FF3074" w:rsidRPr="00B44E27" w:rsidRDefault="00FF3074" w:rsidP="00FC176B">
            <w:pPr>
              <w:spacing w:after="0"/>
              <w:ind w:left="0" w:hanging="2"/>
              <w:rPr>
                <w:color w:val="548DD4"/>
                <w:sz w:val="20"/>
                <w:szCs w:val="20"/>
              </w:rPr>
            </w:pPr>
          </w:p>
        </w:tc>
      </w:tr>
      <w:tr w:rsidR="00FF3074" w:rsidRPr="00B44E27" w14:paraId="3F81AA80" w14:textId="77777777" w:rsidTr="00CE365B">
        <w:trPr>
          <w:jc w:val="center"/>
        </w:trPr>
        <w:tc>
          <w:tcPr>
            <w:tcW w:w="10638" w:type="dxa"/>
            <w:gridSpan w:val="2"/>
            <w:tcBorders>
              <w:top w:val="single" w:sz="4" w:space="0" w:color="000000"/>
            </w:tcBorders>
            <w:shd w:val="clear" w:color="auto" w:fill="149B55"/>
          </w:tcPr>
          <w:p w14:paraId="506EA375" w14:textId="77777777" w:rsidR="00FF3074" w:rsidRPr="00B44E27" w:rsidRDefault="00FF3074" w:rsidP="00993473">
            <w:pPr>
              <w:spacing w:after="0"/>
              <w:ind w:left="0" w:hanging="2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t>2.</w:t>
            </w:r>
            <w:r w:rsidRPr="00B44E27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B44E27">
              <w:rPr>
                <w:b/>
                <w:color w:val="FFFFFF" w:themeColor="background1"/>
                <w:sz w:val="20"/>
                <w:szCs w:val="20"/>
              </w:rPr>
              <w:t>Descrições e quantidades</w:t>
            </w:r>
          </w:p>
        </w:tc>
      </w:tr>
      <w:tr w:rsidR="00FF3074" w:rsidRPr="00B44E27" w14:paraId="6A0D2367" w14:textId="77777777" w:rsidTr="00784355">
        <w:trPr>
          <w:jc w:val="center"/>
        </w:trPr>
        <w:tc>
          <w:tcPr>
            <w:tcW w:w="1063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028EB944" w14:textId="497F2FC5" w:rsidR="008D4061" w:rsidRPr="00B44E27" w:rsidRDefault="008D4061" w:rsidP="008D4061">
            <w:pPr>
              <w:spacing w:after="0"/>
              <w:ind w:left="0" w:hanging="2"/>
              <w:jc w:val="left"/>
              <w:rPr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As descrições e as quantidades do que será adquirido encontram-se em anexo, conforme relatório – Anexo II – extraído do sistema SIGECOM – Sistema de Gerenciamento de Compras</w:t>
            </w:r>
            <w:r w:rsidR="008517B5">
              <w:rPr>
                <w:sz w:val="20"/>
                <w:szCs w:val="20"/>
              </w:rPr>
              <w:t>.</w:t>
            </w:r>
            <w:bookmarkStart w:id="1" w:name="_GoBack"/>
            <w:bookmarkEnd w:id="1"/>
          </w:p>
          <w:p w14:paraId="7112672D" w14:textId="38661A74" w:rsidR="008D4061" w:rsidRPr="00B44E27" w:rsidRDefault="008D4061" w:rsidP="001C495F">
            <w:pPr>
              <w:spacing w:after="0"/>
              <w:ind w:leftChars="0" w:left="0" w:firstLineChars="0" w:firstLine="0"/>
              <w:rPr>
                <w:color w:val="FF0000"/>
                <w:sz w:val="20"/>
                <w:szCs w:val="20"/>
              </w:rPr>
            </w:pPr>
          </w:p>
        </w:tc>
      </w:tr>
      <w:tr w:rsidR="00FF3074" w:rsidRPr="00B44E27" w14:paraId="407F3A6B" w14:textId="77777777" w:rsidTr="00CE365B">
        <w:trPr>
          <w:jc w:val="center"/>
        </w:trPr>
        <w:tc>
          <w:tcPr>
            <w:tcW w:w="10638" w:type="dxa"/>
            <w:gridSpan w:val="2"/>
            <w:tcBorders>
              <w:top w:val="single" w:sz="4" w:space="0" w:color="000000"/>
            </w:tcBorders>
            <w:shd w:val="clear" w:color="auto" w:fill="149B55"/>
          </w:tcPr>
          <w:p w14:paraId="15142294" w14:textId="77777777" w:rsidR="00FF3074" w:rsidRPr="00B44E27" w:rsidRDefault="00FF3074" w:rsidP="00993473">
            <w:pPr>
              <w:spacing w:after="0"/>
              <w:ind w:left="0" w:hanging="2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t>3.</w:t>
            </w:r>
            <w:r w:rsidRPr="00B44E27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B44E27">
              <w:rPr>
                <w:b/>
                <w:color w:val="FFFFFF" w:themeColor="background1"/>
                <w:sz w:val="20"/>
                <w:szCs w:val="20"/>
              </w:rPr>
              <w:t>Justificativa da necessidade da aquisição, considerando o Planejamento Estratégico (se for o caso)</w:t>
            </w:r>
          </w:p>
        </w:tc>
      </w:tr>
      <w:tr w:rsidR="00C45B94" w:rsidRPr="00B44E27" w14:paraId="7767FC73" w14:textId="77777777" w:rsidTr="00784355">
        <w:trPr>
          <w:jc w:val="center"/>
        </w:trPr>
        <w:tc>
          <w:tcPr>
            <w:tcW w:w="10638" w:type="dxa"/>
            <w:gridSpan w:val="2"/>
            <w:tcBorders>
              <w:top w:val="single" w:sz="4" w:space="0" w:color="000000"/>
            </w:tcBorders>
            <w:shd w:val="clear" w:color="auto" w:fill="auto"/>
          </w:tcPr>
          <w:p w14:paraId="24239892" w14:textId="77777777" w:rsidR="00B45BC5" w:rsidRPr="0054725B" w:rsidRDefault="00B45BC5" w:rsidP="00B45BC5">
            <w:pPr>
              <w:spacing w:line="360" w:lineRule="auto"/>
              <w:ind w:left="0" w:hanging="2"/>
              <w:rPr>
                <w:sz w:val="20"/>
                <w:szCs w:val="20"/>
              </w:rPr>
            </w:pPr>
            <w:r w:rsidRPr="0054725B">
              <w:rPr>
                <w:sz w:val="20"/>
                <w:szCs w:val="20"/>
              </w:rPr>
              <w:t>Salientamos que o material solicitado é destinado a operação de equipamentos instalados nos laboratórios vinculados aos departamentos do Centro de Ciências Tecnológicas e à aquisição dos mesmos é importante para o prosseguimento das atividades vinculadas ao ensino, pesquisa e pós-graduação.</w:t>
            </w:r>
          </w:p>
          <w:p w14:paraId="04A0E312" w14:textId="77777777" w:rsidR="00B45BC5" w:rsidRPr="0054725B" w:rsidRDefault="00B45BC5" w:rsidP="00B45BC5">
            <w:pPr>
              <w:spacing w:line="360" w:lineRule="auto"/>
              <w:ind w:left="0" w:hanging="2"/>
              <w:rPr>
                <w:sz w:val="20"/>
                <w:szCs w:val="20"/>
              </w:rPr>
            </w:pPr>
            <w:r w:rsidRPr="0054725B">
              <w:rPr>
                <w:sz w:val="20"/>
                <w:szCs w:val="20"/>
              </w:rPr>
              <w:t>Pode-se destacar no Departamento de Engenharia Mecânica alguns equipamentos que utilizam estes materiais:</w:t>
            </w:r>
            <w:r>
              <w:rPr>
                <w:sz w:val="20"/>
                <w:szCs w:val="20"/>
              </w:rPr>
              <w:t xml:space="preserve"> </w:t>
            </w:r>
            <w:r w:rsidRPr="0054725B">
              <w:rPr>
                <w:sz w:val="20"/>
                <w:szCs w:val="20"/>
              </w:rPr>
              <w:t>Microscópio Eletrônico de Varredura;</w:t>
            </w:r>
            <w:r>
              <w:rPr>
                <w:sz w:val="20"/>
                <w:szCs w:val="20"/>
              </w:rPr>
              <w:t xml:space="preserve"> </w:t>
            </w:r>
            <w:r w:rsidRPr="0054725B">
              <w:rPr>
                <w:sz w:val="20"/>
                <w:szCs w:val="20"/>
              </w:rPr>
              <w:t>Microscópio Eletrônico de Transmissão;</w:t>
            </w:r>
            <w:r>
              <w:rPr>
                <w:sz w:val="20"/>
                <w:szCs w:val="20"/>
              </w:rPr>
              <w:t xml:space="preserve"> </w:t>
            </w:r>
            <w:r w:rsidRPr="0054725B">
              <w:rPr>
                <w:sz w:val="20"/>
                <w:szCs w:val="20"/>
              </w:rPr>
              <w:t>Sistema de Análise Térmica DSC/DTA/TG;</w:t>
            </w:r>
            <w:r>
              <w:rPr>
                <w:sz w:val="20"/>
                <w:szCs w:val="20"/>
              </w:rPr>
              <w:t xml:space="preserve"> </w:t>
            </w:r>
            <w:r w:rsidRPr="0054725B">
              <w:rPr>
                <w:sz w:val="20"/>
                <w:szCs w:val="20"/>
              </w:rPr>
              <w:t>Sistema de Análise Térmica DSC;</w:t>
            </w:r>
            <w:r>
              <w:rPr>
                <w:sz w:val="20"/>
                <w:szCs w:val="20"/>
              </w:rPr>
              <w:t xml:space="preserve"> </w:t>
            </w:r>
            <w:r w:rsidRPr="0054725B">
              <w:rPr>
                <w:sz w:val="20"/>
                <w:szCs w:val="20"/>
              </w:rPr>
              <w:t>Sistema de análise térmica TMA;</w:t>
            </w:r>
            <w:r>
              <w:rPr>
                <w:sz w:val="20"/>
                <w:szCs w:val="20"/>
              </w:rPr>
              <w:t xml:space="preserve"> Sistema de análise térmica DMA. </w:t>
            </w:r>
            <w:r w:rsidRPr="0054725B">
              <w:rPr>
                <w:sz w:val="20"/>
                <w:szCs w:val="20"/>
              </w:rPr>
              <w:t>Estes equipamentos são utilizados principalmente por professores e alunos do Programa de Pós-graduação em Ciência e Engenharia de Materiais</w:t>
            </w:r>
            <w:r>
              <w:rPr>
                <w:sz w:val="20"/>
                <w:szCs w:val="20"/>
              </w:rPr>
              <w:t xml:space="preserve">, </w:t>
            </w:r>
            <w:r w:rsidRPr="0054725B">
              <w:rPr>
                <w:sz w:val="20"/>
                <w:szCs w:val="20"/>
              </w:rPr>
              <w:t xml:space="preserve">Programa de Pós-graduação </w:t>
            </w:r>
            <w:r>
              <w:rPr>
                <w:sz w:val="20"/>
                <w:szCs w:val="20"/>
              </w:rPr>
              <w:t xml:space="preserve">em Física, </w:t>
            </w:r>
            <w:r w:rsidRPr="0054725B">
              <w:rPr>
                <w:sz w:val="20"/>
                <w:szCs w:val="20"/>
              </w:rPr>
              <w:t xml:space="preserve">Programa de Pós-graduação </w:t>
            </w:r>
            <w:r>
              <w:rPr>
                <w:sz w:val="20"/>
                <w:szCs w:val="20"/>
              </w:rPr>
              <w:t>em Engenharia Civil e Programa de Pós-graduação em Química Aplicada</w:t>
            </w:r>
            <w:r w:rsidRPr="0054725B">
              <w:rPr>
                <w:sz w:val="20"/>
                <w:szCs w:val="20"/>
              </w:rPr>
              <w:t>. Além disso, atendem também a professores e alunos do Curso de Graduação em Engenharia Mecânica, alunos de Iniciação Científica em geral e professores de outros departamentos do CCT, tais como do Departamento de Engenharia Civil, Departamento de Engenharia de Produção e Sistemas, Departamento de Física e Departamento de Química.</w:t>
            </w:r>
          </w:p>
          <w:p w14:paraId="2B33EEB3" w14:textId="77777777" w:rsidR="00B45BC5" w:rsidRPr="0054725B" w:rsidRDefault="00B45BC5" w:rsidP="00B45BC5">
            <w:pPr>
              <w:spacing w:line="360" w:lineRule="auto"/>
              <w:ind w:left="0" w:hanging="2"/>
              <w:rPr>
                <w:sz w:val="20"/>
                <w:szCs w:val="20"/>
              </w:rPr>
            </w:pPr>
            <w:r w:rsidRPr="0054725B">
              <w:rPr>
                <w:sz w:val="20"/>
                <w:szCs w:val="20"/>
              </w:rPr>
              <w:t>Os laboratórios do departamento de química utilizam nitrogênio líquido nas reações químicas realizadas em aulas para graduação do curso de química e em projetos de pesquisas vinculados aos professores do departamento. Além disso, o departamento possui o equipamento ressonância magnético nuclear (RMN) que tem a necessidade de um volume de nitrogênio líquido semanal para sua operação e manutenção. Este equipamento é</w:t>
            </w:r>
            <w:r>
              <w:rPr>
                <w:sz w:val="20"/>
                <w:szCs w:val="20"/>
              </w:rPr>
              <w:t xml:space="preserve"> utilizado</w:t>
            </w:r>
            <w:r w:rsidRPr="0054725B">
              <w:rPr>
                <w:sz w:val="20"/>
                <w:szCs w:val="20"/>
              </w:rPr>
              <w:t xml:space="preserve"> principalmente por professores e alunos do Programa de Pós-graduação em Química Aplicada. Além disso, atendem também a professores e alunos do Curso de Graduação em Química, alunos de Iniciação Científica e pós-graduação geral e professores de outros departamentos do CCT, tais como do Departamento de Engenharia Mecânica e Departamento de Física.</w:t>
            </w:r>
          </w:p>
          <w:p w14:paraId="0259159C" w14:textId="77777777" w:rsidR="00B45BC5" w:rsidRPr="0054725B" w:rsidRDefault="00B45BC5" w:rsidP="00B45BC5">
            <w:pPr>
              <w:spacing w:line="360" w:lineRule="auto"/>
              <w:ind w:left="0" w:hanging="2"/>
              <w:rPr>
                <w:sz w:val="20"/>
                <w:szCs w:val="20"/>
              </w:rPr>
            </w:pPr>
            <w:r w:rsidRPr="0054725B">
              <w:rPr>
                <w:sz w:val="20"/>
                <w:szCs w:val="20"/>
              </w:rPr>
              <w:t xml:space="preserve"> O Laboratório de Filmes Finos do Departamento de Física utiliza o nitrogênio líquido para operação do equipamento de espectroscopia Raman, equipamento multiusuário. </w:t>
            </w:r>
          </w:p>
          <w:p w14:paraId="2E9EA736" w14:textId="77777777" w:rsidR="00B45BC5" w:rsidRDefault="00B45BC5" w:rsidP="00B45BC5">
            <w:pPr>
              <w:spacing w:line="360" w:lineRule="auto"/>
              <w:ind w:left="0" w:hanging="2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O histórico de consumo é apresentado na Tabela 1</w:t>
            </w:r>
            <w:r w:rsidRPr="0054725B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975D8">
              <w:rPr>
                <w:bCs/>
                <w:sz w:val="20"/>
                <w:szCs w:val="20"/>
              </w:rPr>
              <w:t>Observa-se um aumento no co</w:t>
            </w:r>
            <w:r>
              <w:rPr>
                <w:bCs/>
                <w:sz w:val="20"/>
                <w:szCs w:val="20"/>
              </w:rPr>
              <w:t>n</w:t>
            </w:r>
            <w:r w:rsidRPr="002975D8">
              <w:rPr>
                <w:bCs/>
                <w:sz w:val="20"/>
                <w:szCs w:val="20"/>
              </w:rPr>
              <w:t>sumo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975D8">
              <w:rPr>
                <w:bCs/>
                <w:sz w:val="20"/>
                <w:szCs w:val="20"/>
              </w:rPr>
              <w:t>ao longo dos anos, devido ao crescimento do CCT em te</w:t>
            </w:r>
            <w:r>
              <w:rPr>
                <w:bCs/>
                <w:sz w:val="20"/>
                <w:szCs w:val="20"/>
              </w:rPr>
              <w:t>r</w:t>
            </w:r>
            <w:r w:rsidRPr="002975D8">
              <w:rPr>
                <w:bCs/>
                <w:sz w:val="20"/>
                <w:szCs w:val="20"/>
              </w:rPr>
              <w:t xml:space="preserve">mos de pesquisa, com aquisição de novos equipamentos que utilizam o nitrogênio líquido para sua operação e manutenção, aumento de número de programas de pós-graduações e a consolidação destes programas e com isso </w:t>
            </w:r>
            <w:r w:rsidRPr="002975D8">
              <w:rPr>
                <w:bCs/>
                <w:sz w:val="20"/>
                <w:szCs w:val="20"/>
              </w:rPr>
              <w:lastRenderedPageBreak/>
              <w:t>aumento na demanda deste material para as atividades relacionadas aos projetos de pesquisas vinculadas as teses e dissertações.</w:t>
            </w:r>
            <w:r>
              <w:rPr>
                <w:bCs/>
                <w:sz w:val="20"/>
                <w:szCs w:val="20"/>
              </w:rPr>
              <w:t xml:space="preserve"> Além disso, a consolidação do Centro Multiusuário do CCT, no último ano, levou a um aumento da demanda de prestação de serviços tanto para comunidade interna quanto externa da UDESC. Portanto, </w:t>
            </w:r>
            <w:r>
              <w:rPr>
                <w:sz w:val="20"/>
                <w:szCs w:val="20"/>
              </w:rPr>
              <w:t>a</w:t>
            </w:r>
            <w:r w:rsidRPr="0054725B">
              <w:rPr>
                <w:sz w:val="20"/>
                <w:szCs w:val="20"/>
              </w:rPr>
              <w:t xml:space="preserve"> estimativa do consumo anual de nitrogênio líquido para</w:t>
            </w:r>
            <w:r>
              <w:rPr>
                <w:sz w:val="20"/>
                <w:szCs w:val="20"/>
              </w:rPr>
              <w:t xml:space="preserve"> ano de 2025 no</w:t>
            </w:r>
            <w:r w:rsidRPr="0054725B">
              <w:rPr>
                <w:sz w:val="20"/>
                <w:szCs w:val="20"/>
              </w:rPr>
              <w:t xml:space="preserve"> campus do CCT é de </w:t>
            </w:r>
            <w:r>
              <w:rPr>
                <w:b/>
                <w:sz w:val="20"/>
                <w:szCs w:val="20"/>
              </w:rPr>
              <w:t>10.000</w:t>
            </w:r>
            <w:r w:rsidRPr="0054725B">
              <w:rPr>
                <w:b/>
                <w:sz w:val="20"/>
                <w:szCs w:val="20"/>
              </w:rPr>
              <w:t xml:space="preserve"> (</w:t>
            </w:r>
            <w:r>
              <w:rPr>
                <w:b/>
                <w:sz w:val="20"/>
                <w:szCs w:val="20"/>
              </w:rPr>
              <w:t>dez mil litros</w:t>
            </w:r>
            <w:r w:rsidRPr="0054725B">
              <w:rPr>
                <w:b/>
                <w:sz w:val="20"/>
                <w:szCs w:val="20"/>
              </w:rPr>
              <w:t>) de nitrogênio líquido</w:t>
            </w:r>
            <w:r>
              <w:rPr>
                <w:b/>
                <w:sz w:val="20"/>
                <w:szCs w:val="20"/>
              </w:rPr>
              <w:t xml:space="preserve">, </w:t>
            </w:r>
            <w:r>
              <w:rPr>
                <w:bCs/>
                <w:sz w:val="20"/>
                <w:szCs w:val="20"/>
              </w:rPr>
              <w:t xml:space="preserve">um aumento de aproximadamente 7% em relação ao consumo ano de 2024, justifica-se esse aumento dada a consolidação dos cursos de doutorado do </w:t>
            </w:r>
            <w:r w:rsidRPr="0054725B">
              <w:rPr>
                <w:sz w:val="20"/>
                <w:szCs w:val="20"/>
              </w:rPr>
              <w:t xml:space="preserve">Programa de Pós-graduação </w:t>
            </w:r>
            <w:r>
              <w:rPr>
                <w:sz w:val="20"/>
                <w:szCs w:val="20"/>
              </w:rPr>
              <w:t>em Engenharia Civil e Programa de Pós-graduação em Química Aplicada</w:t>
            </w:r>
            <w:r w:rsidRPr="0054725B">
              <w:rPr>
                <w:b/>
                <w:sz w:val="20"/>
                <w:szCs w:val="20"/>
              </w:rPr>
              <w:t>.</w:t>
            </w:r>
          </w:p>
          <w:p w14:paraId="17819C89" w14:textId="77777777" w:rsidR="00B45BC5" w:rsidRPr="002975D8" w:rsidRDefault="00B45BC5" w:rsidP="00B45BC5">
            <w:pPr>
              <w:spacing w:line="360" w:lineRule="auto"/>
              <w:ind w:left="0" w:hanging="2"/>
              <w:rPr>
                <w:bCs/>
                <w:sz w:val="20"/>
                <w:szCs w:val="20"/>
              </w:rPr>
            </w:pPr>
          </w:p>
          <w:p w14:paraId="625EFD0C" w14:textId="77777777" w:rsidR="00B45BC5" w:rsidRDefault="00B45BC5" w:rsidP="00B45BC5">
            <w:pPr>
              <w:spacing w:line="360" w:lineRule="auto"/>
              <w:ind w:left="0" w:hanging="2"/>
              <w:jc w:val="center"/>
              <w:rPr>
                <w:b/>
                <w:sz w:val="20"/>
                <w:szCs w:val="20"/>
              </w:rPr>
            </w:pPr>
            <w:r>
              <w:rPr>
                <w:rStyle w:val="markcomc9rl2z"/>
                <w:color w:val="000000"/>
                <w:sz w:val="22"/>
                <w:szCs w:val="22"/>
                <w:bdr w:val="none" w:sz="0" w:space="0" w:color="auto" w:frame="1"/>
              </w:rPr>
              <w:t>Tabela 1 - Histórico de consumo carga Nitrogênio líquido</w:t>
            </w:r>
          </w:p>
          <w:tbl>
            <w:tblPr>
              <w:tblW w:w="473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35"/>
              <w:gridCol w:w="1538"/>
              <w:gridCol w:w="559"/>
            </w:tblGrid>
            <w:tr w:rsidR="00B45BC5" w14:paraId="170E4283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center"/>
                  <w:hideMark/>
                </w:tcPr>
                <w:p w14:paraId="711EA7EC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Item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401CFE86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Consumo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335D22D6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Ano</w:t>
                  </w:r>
                </w:p>
              </w:tc>
            </w:tr>
            <w:tr w:rsidR="00B45BC5" w14:paraId="16579237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191A5C1B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234C3A59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3.500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3E672733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2015</w:t>
                  </w:r>
                </w:p>
              </w:tc>
            </w:tr>
            <w:tr w:rsidR="00B45BC5" w14:paraId="4DA6716B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389114C8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30D71D77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5.000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47922BC8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2016</w:t>
                  </w:r>
                </w:p>
              </w:tc>
            </w:tr>
            <w:tr w:rsidR="00B45BC5" w14:paraId="4DA03903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055A06F1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69C902B2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6.000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5F795AE0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2017</w:t>
                  </w:r>
                </w:p>
              </w:tc>
            </w:tr>
            <w:tr w:rsidR="00B45BC5" w14:paraId="7145677F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16B808AD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2D318D7F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5.000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610E00E6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2018</w:t>
                  </w:r>
                </w:p>
              </w:tc>
            </w:tr>
            <w:tr w:rsidR="00B45BC5" w14:paraId="6669FCE6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0EA05B37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38D80BFF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6.000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53510642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2019</w:t>
                  </w:r>
                </w:p>
              </w:tc>
            </w:tr>
            <w:tr w:rsidR="00B45BC5" w14:paraId="3C8EBB75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0B17E51D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2EBD500B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5.949,43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2FB48CEA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2020</w:t>
                  </w:r>
                </w:p>
              </w:tc>
            </w:tr>
            <w:tr w:rsidR="00B45BC5" w14:paraId="330614C6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4ABA5829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69D502DF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5.000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2BDC0705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2021</w:t>
                  </w:r>
                </w:p>
              </w:tc>
            </w:tr>
            <w:tr w:rsidR="00B45BC5" w14:paraId="6CE579A0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</w:tcPr>
                <w:p w14:paraId="0B57AE20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</w:tcPr>
                <w:p w14:paraId="3DBFABF6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6.000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</w:tcPr>
                <w:p w14:paraId="7D34C7E4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2022</w:t>
                  </w:r>
                </w:p>
              </w:tc>
            </w:tr>
            <w:tr w:rsidR="00B45BC5" w14:paraId="0EE1FF0A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  <w:hideMark/>
                </w:tcPr>
                <w:p w14:paraId="3A77DC72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Carga Nitrogênio Líquido</w:t>
                  </w:r>
                </w:p>
              </w:tc>
              <w:tc>
                <w:tcPr>
                  <w:tcW w:w="1538" w:type="dxa"/>
                  <w:shd w:val="clear" w:color="auto" w:fill="FFFFFF"/>
                  <w:vAlign w:val="center"/>
                  <w:hideMark/>
                </w:tcPr>
                <w:p w14:paraId="2350DBDB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7.500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  <w:hideMark/>
                </w:tcPr>
                <w:p w14:paraId="700F1D3F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2023</w:t>
                  </w:r>
                </w:p>
              </w:tc>
            </w:tr>
            <w:tr w:rsidR="00B45BC5" w14:paraId="61949308" w14:textId="77777777" w:rsidTr="007A7E56">
              <w:trPr>
                <w:trHeight w:val="300"/>
                <w:jc w:val="center"/>
              </w:trPr>
              <w:tc>
                <w:tcPr>
                  <w:tcW w:w="2635" w:type="dxa"/>
                  <w:shd w:val="clear" w:color="auto" w:fill="FFFFFF"/>
                  <w:vAlign w:val="bottom"/>
                </w:tcPr>
                <w:p w14:paraId="0F01CD92" w14:textId="77777777" w:rsidR="00B45BC5" w:rsidRDefault="00B45BC5" w:rsidP="00B45BC5">
                  <w:pPr>
                    <w:ind w:left="0" w:hanging="2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Carga Nitrogênio 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Líqudio</w:t>
                  </w:r>
                  <w:proofErr w:type="spellEnd"/>
                </w:p>
              </w:tc>
              <w:tc>
                <w:tcPr>
                  <w:tcW w:w="1538" w:type="dxa"/>
                  <w:shd w:val="clear" w:color="auto" w:fill="FFFFFF"/>
                  <w:vAlign w:val="center"/>
                </w:tcPr>
                <w:p w14:paraId="53381096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9.375 litros</w:t>
                  </w:r>
                </w:p>
              </w:tc>
              <w:tc>
                <w:tcPr>
                  <w:tcW w:w="559" w:type="dxa"/>
                  <w:shd w:val="clear" w:color="auto" w:fill="FFFFFF"/>
                  <w:vAlign w:val="center"/>
                </w:tcPr>
                <w:p w14:paraId="28E12D53" w14:textId="77777777" w:rsidR="00B45BC5" w:rsidRDefault="00B45BC5" w:rsidP="00B45BC5">
                  <w:pPr>
                    <w:ind w:left="0" w:hanging="2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2024</w:t>
                  </w:r>
                </w:p>
              </w:tc>
            </w:tr>
          </w:tbl>
          <w:p w14:paraId="1BD9777F" w14:textId="77777777" w:rsidR="00B45BC5" w:rsidRDefault="00B45BC5" w:rsidP="00B45BC5">
            <w:pPr>
              <w:spacing w:line="360" w:lineRule="auto"/>
              <w:ind w:left="0" w:hanging="2"/>
              <w:rPr>
                <w:b/>
                <w:sz w:val="20"/>
                <w:szCs w:val="20"/>
              </w:rPr>
            </w:pPr>
          </w:p>
          <w:p w14:paraId="55AA5240" w14:textId="77777777" w:rsidR="0039781B" w:rsidRDefault="00B45BC5" w:rsidP="00B45BC5">
            <w:pPr>
              <w:spacing w:line="360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 nitrogênio líquido é considerado um gás atóxico e não inflamável, conforme </w:t>
            </w:r>
            <w:r w:rsidRPr="002975D8">
              <w:rPr>
                <w:sz w:val="20"/>
                <w:szCs w:val="20"/>
              </w:rPr>
              <w:t>Ficha de Informações de</w:t>
            </w:r>
            <w:r>
              <w:rPr>
                <w:sz w:val="20"/>
                <w:szCs w:val="20"/>
              </w:rPr>
              <w:t xml:space="preserve"> </w:t>
            </w:r>
            <w:r w:rsidRPr="002975D8">
              <w:rPr>
                <w:sz w:val="20"/>
                <w:szCs w:val="20"/>
              </w:rPr>
              <w:t>Segurança de Produtos Químicos</w:t>
            </w:r>
            <w:r>
              <w:rPr>
                <w:sz w:val="20"/>
                <w:szCs w:val="20"/>
              </w:rPr>
              <w:t xml:space="preserve">. </w:t>
            </w:r>
          </w:p>
          <w:p w14:paraId="483D6C13" w14:textId="5A7856E4" w:rsidR="00B45BC5" w:rsidRPr="00B44E27" w:rsidRDefault="00B45BC5" w:rsidP="00B45BC5">
            <w:pPr>
              <w:spacing w:line="360" w:lineRule="auto"/>
              <w:ind w:left="0" w:hanging="2"/>
              <w:rPr>
                <w:color w:val="548DD4"/>
                <w:sz w:val="20"/>
                <w:szCs w:val="20"/>
              </w:rPr>
            </w:pPr>
          </w:p>
        </w:tc>
      </w:tr>
      <w:tr w:rsidR="00C45B94" w:rsidRPr="00B44E27" w14:paraId="7BC8F81E" w14:textId="77777777" w:rsidTr="00CE365B">
        <w:trPr>
          <w:jc w:val="center"/>
        </w:trPr>
        <w:tc>
          <w:tcPr>
            <w:tcW w:w="10638" w:type="dxa"/>
            <w:gridSpan w:val="2"/>
            <w:shd w:val="clear" w:color="auto" w:fill="149B55"/>
          </w:tcPr>
          <w:p w14:paraId="6B4CC907" w14:textId="77777777" w:rsidR="00C45B94" w:rsidRPr="00B44E27" w:rsidRDefault="009A73FD" w:rsidP="00FC176B">
            <w:pPr>
              <w:spacing w:after="0"/>
              <w:ind w:left="0" w:hanging="2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lastRenderedPageBreak/>
              <w:t>4</w:t>
            </w:r>
            <w:r w:rsidR="000B4967" w:rsidRPr="00B44E27">
              <w:rPr>
                <w:b/>
                <w:color w:val="FFFFFF" w:themeColor="background1"/>
                <w:sz w:val="20"/>
                <w:szCs w:val="20"/>
              </w:rPr>
              <w:t>.</w:t>
            </w:r>
            <w:r w:rsidR="000B4967" w:rsidRPr="00B44E27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="000B4967" w:rsidRPr="00B44E27">
              <w:rPr>
                <w:b/>
                <w:color w:val="FFFFFF" w:themeColor="background1"/>
                <w:sz w:val="20"/>
                <w:szCs w:val="20"/>
              </w:rPr>
              <w:t>Previsão de data em que devem ser adquiridos os materiais e/ou serviços</w:t>
            </w:r>
          </w:p>
        </w:tc>
      </w:tr>
      <w:tr w:rsidR="00C45B94" w:rsidRPr="00B44E27" w14:paraId="7FAB6C78" w14:textId="77777777" w:rsidTr="00784355">
        <w:trPr>
          <w:jc w:val="center"/>
        </w:trPr>
        <w:tc>
          <w:tcPr>
            <w:tcW w:w="10638" w:type="dxa"/>
            <w:gridSpan w:val="2"/>
            <w:shd w:val="clear" w:color="auto" w:fill="auto"/>
          </w:tcPr>
          <w:p w14:paraId="2BB2A688" w14:textId="7344042A" w:rsidR="00F36426" w:rsidRPr="00B44E27" w:rsidRDefault="00F10021" w:rsidP="00B45BC5">
            <w:pPr>
              <w:spacing w:after="0"/>
              <w:ind w:left="0" w:hanging="2"/>
              <w:rPr>
                <w:color w:val="548DD4"/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 xml:space="preserve">A aquisição está prevista para </w:t>
            </w:r>
            <w:r w:rsidR="00B45BC5">
              <w:rPr>
                <w:sz w:val="20"/>
                <w:szCs w:val="20"/>
              </w:rPr>
              <w:t>novembro</w:t>
            </w:r>
            <w:r w:rsidRPr="00B44E27">
              <w:rPr>
                <w:sz w:val="20"/>
                <w:szCs w:val="20"/>
              </w:rPr>
              <w:t xml:space="preserve"> de 2024 e deverá atender a demanda existente destes materiais </w:t>
            </w:r>
            <w:r w:rsidR="00B45BC5">
              <w:rPr>
                <w:sz w:val="20"/>
                <w:szCs w:val="20"/>
              </w:rPr>
              <w:t>para o ano de 2025.</w:t>
            </w:r>
          </w:p>
        </w:tc>
      </w:tr>
      <w:tr w:rsidR="00FF3074" w:rsidRPr="00B44E27" w14:paraId="6F38FC79" w14:textId="77777777" w:rsidTr="00CE365B">
        <w:trPr>
          <w:jc w:val="center"/>
        </w:trPr>
        <w:tc>
          <w:tcPr>
            <w:tcW w:w="10638" w:type="dxa"/>
            <w:gridSpan w:val="2"/>
            <w:shd w:val="clear" w:color="auto" w:fill="149B55"/>
          </w:tcPr>
          <w:p w14:paraId="6E6D3938" w14:textId="77777777" w:rsidR="00FF3074" w:rsidRPr="00B44E27" w:rsidRDefault="009A73FD" w:rsidP="009A73FD">
            <w:pPr>
              <w:spacing w:after="0"/>
              <w:ind w:left="0" w:hanging="2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t>5</w:t>
            </w:r>
            <w:r w:rsidR="00FF3074" w:rsidRPr="00B44E27">
              <w:rPr>
                <w:b/>
                <w:color w:val="FFFFFF" w:themeColor="background1"/>
                <w:sz w:val="20"/>
                <w:szCs w:val="20"/>
              </w:rPr>
              <w:t>.</w:t>
            </w:r>
            <w:r w:rsidR="00FF3074" w:rsidRPr="00B44E27">
              <w:rPr>
                <w:color w:val="FFFFFF" w:themeColor="background1"/>
                <w:sz w:val="20"/>
                <w:szCs w:val="20"/>
              </w:rPr>
              <w:t xml:space="preserve"> </w:t>
            </w:r>
            <w:r w:rsidRPr="00B44E27">
              <w:rPr>
                <w:b/>
                <w:color w:val="FFFFFF" w:themeColor="background1"/>
                <w:sz w:val="20"/>
                <w:szCs w:val="20"/>
              </w:rPr>
              <w:t>O objeto a ser adquirido está previsto no Plano Anual de Compras?</w:t>
            </w:r>
          </w:p>
        </w:tc>
      </w:tr>
      <w:tr w:rsidR="00FF3074" w:rsidRPr="00B44E27" w14:paraId="6488ACDD" w14:textId="77777777" w:rsidTr="00784355">
        <w:trPr>
          <w:jc w:val="center"/>
        </w:trPr>
        <w:tc>
          <w:tcPr>
            <w:tcW w:w="10638" w:type="dxa"/>
            <w:gridSpan w:val="2"/>
            <w:shd w:val="clear" w:color="auto" w:fill="auto"/>
          </w:tcPr>
          <w:p w14:paraId="783A93C8" w14:textId="77777777" w:rsidR="0039781B" w:rsidRPr="00B44E27" w:rsidRDefault="0039781B" w:rsidP="00FC176B">
            <w:pPr>
              <w:spacing w:after="0"/>
              <w:ind w:left="0" w:hanging="2"/>
              <w:rPr>
                <w:color w:val="548DD4"/>
                <w:sz w:val="20"/>
                <w:szCs w:val="20"/>
              </w:rPr>
            </w:pPr>
          </w:p>
          <w:p w14:paraId="7A445A29" w14:textId="735A640D" w:rsidR="00FF3074" w:rsidRPr="00B44E27" w:rsidRDefault="009A73FD" w:rsidP="00FC176B">
            <w:pPr>
              <w:spacing w:after="0"/>
              <w:ind w:left="0" w:hanging="2"/>
              <w:rPr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(</w:t>
            </w:r>
            <w:r w:rsidR="00F10021" w:rsidRPr="00B44E27">
              <w:rPr>
                <w:sz w:val="20"/>
                <w:szCs w:val="20"/>
              </w:rPr>
              <w:t>X</w:t>
            </w:r>
            <w:r w:rsidRPr="00B44E27">
              <w:rPr>
                <w:sz w:val="20"/>
                <w:szCs w:val="20"/>
              </w:rPr>
              <w:t xml:space="preserve">) Sim </w:t>
            </w:r>
            <w:proofErr w:type="gramStart"/>
            <w:r w:rsidRPr="00B44E27">
              <w:rPr>
                <w:sz w:val="20"/>
                <w:szCs w:val="20"/>
              </w:rPr>
              <w:t xml:space="preserve">   (</w:t>
            </w:r>
            <w:proofErr w:type="gramEnd"/>
            <w:r w:rsidRPr="00B44E27">
              <w:rPr>
                <w:sz w:val="20"/>
                <w:szCs w:val="20"/>
              </w:rPr>
              <w:t xml:space="preserve">  ) Não </w:t>
            </w:r>
            <w:r w:rsidR="0087131A" w:rsidRPr="00B44E27">
              <w:rPr>
                <w:sz w:val="20"/>
                <w:szCs w:val="20"/>
              </w:rPr>
              <w:t xml:space="preserve">– Justificativa: </w:t>
            </w:r>
          </w:p>
          <w:p w14:paraId="2B43D680" w14:textId="77777777" w:rsidR="0039781B" w:rsidRPr="00B44E27" w:rsidRDefault="0039781B" w:rsidP="00FC176B">
            <w:pPr>
              <w:spacing w:after="0"/>
              <w:ind w:left="0" w:hanging="2"/>
              <w:rPr>
                <w:color w:val="548DD4"/>
                <w:sz w:val="20"/>
                <w:szCs w:val="20"/>
              </w:rPr>
            </w:pPr>
          </w:p>
        </w:tc>
      </w:tr>
      <w:tr w:rsidR="00C45B94" w:rsidRPr="00B44E27" w14:paraId="780ADF5B" w14:textId="77777777" w:rsidTr="00CE365B">
        <w:trPr>
          <w:trHeight w:val="150"/>
          <w:jc w:val="center"/>
        </w:trPr>
        <w:tc>
          <w:tcPr>
            <w:tcW w:w="10638" w:type="dxa"/>
            <w:gridSpan w:val="2"/>
            <w:shd w:val="clear" w:color="auto" w:fill="149B55"/>
          </w:tcPr>
          <w:p w14:paraId="6A5C753F" w14:textId="77777777" w:rsidR="00C45B94" w:rsidRPr="00B44E27" w:rsidRDefault="00A63C58" w:rsidP="00FC176B">
            <w:pPr>
              <w:spacing w:after="0"/>
              <w:ind w:left="0" w:hanging="2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t>6</w:t>
            </w:r>
            <w:r w:rsidR="000B4967" w:rsidRPr="00B44E27">
              <w:rPr>
                <w:b/>
                <w:color w:val="FFFFFF" w:themeColor="background1"/>
                <w:sz w:val="20"/>
                <w:szCs w:val="20"/>
              </w:rPr>
              <w:t>. Informações adicionais</w:t>
            </w:r>
          </w:p>
        </w:tc>
      </w:tr>
      <w:tr w:rsidR="00C45B94" w:rsidRPr="00B44E27" w14:paraId="380BA1B0" w14:textId="77777777" w:rsidTr="00784355">
        <w:trPr>
          <w:trHeight w:val="150"/>
          <w:jc w:val="center"/>
        </w:trPr>
        <w:tc>
          <w:tcPr>
            <w:tcW w:w="10638" w:type="dxa"/>
            <w:gridSpan w:val="2"/>
            <w:shd w:val="clear" w:color="auto" w:fill="auto"/>
          </w:tcPr>
          <w:p w14:paraId="5285C5B7" w14:textId="77777777" w:rsidR="0039781B" w:rsidRPr="00B44E27" w:rsidRDefault="00F10021" w:rsidP="0098196F">
            <w:pPr>
              <w:spacing w:after="0"/>
              <w:ind w:left="0" w:hanging="2"/>
              <w:rPr>
                <w:color w:val="548DD4"/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Não se aplica</w:t>
            </w:r>
            <w:r w:rsidR="0098196F" w:rsidRPr="00B44E27">
              <w:rPr>
                <w:color w:val="548DD4"/>
                <w:sz w:val="20"/>
                <w:szCs w:val="20"/>
              </w:rPr>
              <w:t>.</w:t>
            </w:r>
          </w:p>
          <w:p w14:paraId="05F8E23B" w14:textId="1B096574" w:rsidR="00F36426" w:rsidRPr="00B44E27" w:rsidRDefault="00F36426" w:rsidP="0098196F">
            <w:pPr>
              <w:spacing w:after="0"/>
              <w:ind w:left="0" w:hanging="2"/>
              <w:rPr>
                <w:color w:val="548DD4"/>
                <w:sz w:val="20"/>
                <w:szCs w:val="20"/>
              </w:rPr>
            </w:pPr>
          </w:p>
        </w:tc>
      </w:tr>
      <w:tr w:rsidR="00C45B94" w:rsidRPr="00B44E27" w14:paraId="00BC4385" w14:textId="77777777" w:rsidTr="006A3B91">
        <w:trPr>
          <w:trHeight w:val="150"/>
          <w:jc w:val="center"/>
        </w:trPr>
        <w:tc>
          <w:tcPr>
            <w:tcW w:w="10638" w:type="dxa"/>
            <w:gridSpan w:val="2"/>
            <w:shd w:val="clear" w:color="auto" w:fill="00B050"/>
          </w:tcPr>
          <w:p w14:paraId="3146B5E1" w14:textId="77777777" w:rsidR="00C45B94" w:rsidRPr="00B44E27" w:rsidRDefault="00A63C58" w:rsidP="00A63C58">
            <w:pPr>
              <w:spacing w:after="0"/>
              <w:ind w:left="0" w:hanging="2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t>7</w:t>
            </w:r>
            <w:r w:rsidR="000B4967" w:rsidRPr="00B44E27">
              <w:rPr>
                <w:b/>
                <w:color w:val="FFFFFF" w:themeColor="background1"/>
                <w:sz w:val="20"/>
                <w:szCs w:val="20"/>
              </w:rPr>
              <w:t>. Anexos</w:t>
            </w:r>
          </w:p>
        </w:tc>
      </w:tr>
      <w:tr w:rsidR="00C45B94" w:rsidRPr="00B44E27" w14:paraId="636F8B32" w14:textId="77777777" w:rsidTr="00784355">
        <w:trPr>
          <w:trHeight w:val="548"/>
          <w:jc w:val="center"/>
        </w:trPr>
        <w:tc>
          <w:tcPr>
            <w:tcW w:w="10638" w:type="dxa"/>
            <w:gridSpan w:val="2"/>
            <w:shd w:val="clear" w:color="auto" w:fill="auto"/>
          </w:tcPr>
          <w:p w14:paraId="5DCB830E" w14:textId="3DC28F23" w:rsidR="0039781B" w:rsidRPr="00B44E27" w:rsidRDefault="00F10021" w:rsidP="00FC176B">
            <w:pPr>
              <w:spacing w:after="0"/>
              <w:ind w:left="0" w:hanging="2"/>
              <w:rPr>
                <w:color w:val="548DD4"/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Histórico de consumo</w:t>
            </w:r>
            <w:r w:rsidR="00F230F3" w:rsidRPr="00B44E27">
              <w:rPr>
                <w:sz w:val="20"/>
                <w:szCs w:val="20"/>
              </w:rPr>
              <w:t xml:space="preserve"> anexado aos autos</w:t>
            </w:r>
          </w:p>
        </w:tc>
      </w:tr>
      <w:tr w:rsidR="0098196F" w:rsidRPr="00B44E27" w14:paraId="6D8468AC" w14:textId="77777777" w:rsidTr="00CE365B">
        <w:trPr>
          <w:jc w:val="center"/>
        </w:trPr>
        <w:tc>
          <w:tcPr>
            <w:tcW w:w="10638" w:type="dxa"/>
            <w:gridSpan w:val="2"/>
            <w:tcBorders>
              <w:bottom w:val="single" w:sz="4" w:space="0" w:color="000000"/>
            </w:tcBorders>
            <w:shd w:val="clear" w:color="auto" w:fill="149B55"/>
          </w:tcPr>
          <w:p w14:paraId="1CBBD91A" w14:textId="7D53E365" w:rsidR="0098196F" w:rsidRPr="00B44E27" w:rsidRDefault="0098196F" w:rsidP="00FC176B">
            <w:pPr>
              <w:spacing w:after="0"/>
              <w:ind w:left="0" w:hanging="2"/>
              <w:jc w:val="center"/>
              <w:rPr>
                <w:color w:val="FFFFFF" w:themeColor="background1"/>
                <w:sz w:val="20"/>
                <w:szCs w:val="20"/>
              </w:rPr>
            </w:pPr>
            <w:r w:rsidRPr="00B44E27">
              <w:rPr>
                <w:b/>
                <w:color w:val="FFFFFF" w:themeColor="background1"/>
                <w:sz w:val="20"/>
                <w:szCs w:val="20"/>
              </w:rPr>
              <w:t>Responsáveis pela Formalização da Demanda</w:t>
            </w:r>
          </w:p>
        </w:tc>
      </w:tr>
      <w:tr w:rsidR="00B45BC5" w:rsidRPr="00B44E27" w14:paraId="149F8279" w14:textId="77777777" w:rsidTr="001370DA">
        <w:trPr>
          <w:jc w:val="center"/>
        </w:trPr>
        <w:tc>
          <w:tcPr>
            <w:tcW w:w="1063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FBFCB38" w14:textId="77777777" w:rsidR="00B45BC5" w:rsidRPr="00B44E27" w:rsidRDefault="00B45BC5" w:rsidP="00FC176B">
            <w:pPr>
              <w:spacing w:after="0"/>
              <w:ind w:left="0" w:hanging="2"/>
              <w:rPr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Nome: Daniela Becker</w:t>
            </w:r>
          </w:p>
          <w:p w14:paraId="1BE3D4E0" w14:textId="77777777" w:rsidR="00B45BC5" w:rsidRPr="00B44E27" w:rsidRDefault="00B45BC5" w:rsidP="00FC176B">
            <w:pPr>
              <w:spacing w:after="0"/>
              <w:ind w:left="0" w:hanging="2"/>
              <w:rPr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 xml:space="preserve">Matrícula: </w:t>
            </w:r>
            <w:r w:rsidRPr="00B44E27">
              <w:rPr>
                <w:color w:val="000000"/>
                <w:sz w:val="20"/>
                <w:szCs w:val="20"/>
                <w:shd w:val="clear" w:color="auto" w:fill="FFFFFF"/>
              </w:rPr>
              <w:t>381.926-4-02</w:t>
            </w:r>
          </w:p>
          <w:p w14:paraId="0E6A4B54" w14:textId="77777777" w:rsidR="00B45BC5" w:rsidRPr="00B44E27" w:rsidRDefault="00B45BC5" w:rsidP="00FC176B">
            <w:pPr>
              <w:spacing w:after="0"/>
              <w:ind w:left="0" w:hanging="2"/>
              <w:rPr>
                <w:sz w:val="20"/>
                <w:szCs w:val="20"/>
              </w:rPr>
            </w:pPr>
            <w:r w:rsidRPr="00B44E27">
              <w:rPr>
                <w:sz w:val="20"/>
                <w:szCs w:val="20"/>
              </w:rPr>
              <w:t>Função: Professora</w:t>
            </w:r>
          </w:p>
          <w:p w14:paraId="6749C88C" w14:textId="1ED8809A" w:rsidR="00B45BC5" w:rsidRPr="00B44E27" w:rsidRDefault="00B45BC5" w:rsidP="0098196F">
            <w:pPr>
              <w:spacing w:after="0"/>
              <w:ind w:left="0" w:hanging="2"/>
              <w:jc w:val="center"/>
              <w:rPr>
                <w:i/>
                <w:iCs/>
                <w:sz w:val="20"/>
                <w:szCs w:val="20"/>
              </w:rPr>
            </w:pPr>
            <w:r w:rsidRPr="00B44E27">
              <w:rPr>
                <w:i/>
                <w:iCs/>
                <w:sz w:val="20"/>
                <w:szCs w:val="20"/>
              </w:rPr>
              <w:t>Assinado Digitalmente</w:t>
            </w:r>
          </w:p>
        </w:tc>
      </w:tr>
    </w:tbl>
    <w:p w14:paraId="524F73E9" w14:textId="77777777" w:rsidR="001C495F" w:rsidRPr="00B44E27" w:rsidRDefault="001C495F" w:rsidP="00BD37FB">
      <w:pPr>
        <w:pStyle w:val="Corpodetexto"/>
        <w:ind w:left="-851" w:right="1"/>
        <w:jc w:val="both"/>
        <w:rPr>
          <w:rFonts w:ascii="Calibri" w:hAnsi="Calibri" w:cs="Calibri"/>
          <w:b/>
          <w:color w:val="548DD4" w:themeColor="text2" w:themeTint="99"/>
          <w:sz w:val="20"/>
          <w:szCs w:val="20"/>
          <w:highlight w:val="yellow"/>
        </w:rPr>
      </w:pPr>
    </w:p>
    <w:sectPr w:rsidR="001C495F" w:rsidRPr="00B44E27" w:rsidSect="00C814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6" w:right="1133" w:bottom="426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45CEE" w14:textId="77777777" w:rsidR="00FC19B4" w:rsidRDefault="00FC19B4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715BADBA" w14:textId="77777777" w:rsidR="00FC19B4" w:rsidRDefault="00FC19B4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A8028" w14:textId="77777777" w:rsidR="00FC176B" w:rsidRDefault="00FC176B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A12E88" w14:textId="77777777" w:rsidR="00C45B94" w:rsidRDefault="00C45B94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ind w:left="0" w:hanging="2"/>
      <w:jc w:val="left"/>
      <w:rPr>
        <w:sz w:val="20"/>
        <w:szCs w:val="20"/>
      </w:rPr>
    </w:pPr>
  </w:p>
  <w:p w14:paraId="1846BF68" w14:textId="77777777" w:rsidR="00C45B94" w:rsidRDefault="00C45B9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-2" w:firstLine="0"/>
      <w:rPr>
        <w:color w:val="000000"/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BE11D0" w14:textId="77777777" w:rsidR="00FC176B" w:rsidRDefault="00FC176B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DB65BA" w14:textId="77777777" w:rsidR="00FC19B4" w:rsidRDefault="00FC19B4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0AD18633" w14:textId="77777777" w:rsidR="00FC19B4" w:rsidRDefault="00FC19B4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1FDA4" w14:textId="77777777" w:rsidR="00FC176B" w:rsidRDefault="00FC176B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689B85" w14:textId="2BBA986B" w:rsidR="00C45B94" w:rsidRPr="00940AB1" w:rsidRDefault="0098196F" w:rsidP="00940AB1">
    <w:pPr>
      <w:pStyle w:val="Cabealho"/>
      <w:ind w:left="0" w:hanging="2"/>
    </w:pPr>
    <w:r>
      <w:rPr>
        <w:noProof/>
        <w:sz w:val="20"/>
        <w:szCs w:val="20"/>
      </w:rPr>
      <w:drawing>
        <wp:inline distT="0" distB="0" distL="0" distR="0" wp14:anchorId="3076026F" wp14:editId="542264BD">
          <wp:extent cx="1488622" cy="604299"/>
          <wp:effectExtent l="0" t="0" r="0" b="5715"/>
          <wp:docPr id="19" name="Imagem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246" cy="622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E9ED4E" w14:textId="77777777" w:rsidR="00FC176B" w:rsidRDefault="00FC176B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200D"/>
    <w:multiLevelType w:val="hybridMultilevel"/>
    <w:tmpl w:val="8F32D55E"/>
    <w:lvl w:ilvl="0" w:tplc="54A24C4C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78" w:hanging="360"/>
      </w:pPr>
    </w:lvl>
    <w:lvl w:ilvl="2" w:tplc="0416001B" w:tentative="1">
      <w:start w:val="1"/>
      <w:numFmt w:val="lowerRoman"/>
      <w:lvlText w:val="%3."/>
      <w:lvlJc w:val="right"/>
      <w:pPr>
        <w:ind w:left="1798" w:hanging="180"/>
      </w:pPr>
    </w:lvl>
    <w:lvl w:ilvl="3" w:tplc="0416000F" w:tentative="1">
      <w:start w:val="1"/>
      <w:numFmt w:val="decimal"/>
      <w:lvlText w:val="%4."/>
      <w:lvlJc w:val="left"/>
      <w:pPr>
        <w:ind w:left="2518" w:hanging="360"/>
      </w:pPr>
    </w:lvl>
    <w:lvl w:ilvl="4" w:tplc="04160019" w:tentative="1">
      <w:start w:val="1"/>
      <w:numFmt w:val="lowerLetter"/>
      <w:lvlText w:val="%5."/>
      <w:lvlJc w:val="left"/>
      <w:pPr>
        <w:ind w:left="3238" w:hanging="360"/>
      </w:pPr>
    </w:lvl>
    <w:lvl w:ilvl="5" w:tplc="0416001B" w:tentative="1">
      <w:start w:val="1"/>
      <w:numFmt w:val="lowerRoman"/>
      <w:lvlText w:val="%6."/>
      <w:lvlJc w:val="right"/>
      <w:pPr>
        <w:ind w:left="3958" w:hanging="180"/>
      </w:pPr>
    </w:lvl>
    <w:lvl w:ilvl="6" w:tplc="0416000F" w:tentative="1">
      <w:start w:val="1"/>
      <w:numFmt w:val="decimal"/>
      <w:lvlText w:val="%7."/>
      <w:lvlJc w:val="left"/>
      <w:pPr>
        <w:ind w:left="4678" w:hanging="360"/>
      </w:pPr>
    </w:lvl>
    <w:lvl w:ilvl="7" w:tplc="04160019" w:tentative="1">
      <w:start w:val="1"/>
      <w:numFmt w:val="lowerLetter"/>
      <w:lvlText w:val="%8."/>
      <w:lvlJc w:val="left"/>
      <w:pPr>
        <w:ind w:left="5398" w:hanging="360"/>
      </w:pPr>
    </w:lvl>
    <w:lvl w:ilvl="8" w:tplc="0416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41B160CD"/>
    <w:multiLevelType w:val="multilevel"/>
    <w:tmpl w:val="E796E40E"/>
    <w:lvl w:ilvl="0">
      <w:start w:val="1"/>
      <w:numFmt w:val="lowerLetter"/>
      <w:lvlText w:val="%1."/>
      <w:lvlJc w:val="left"/>
      <w:pPr>
        <w:ind w:left="720" w:hanging="360"/>
      </w:pPr>
      <w:rPr>
        <w:color w:val="548DD4" w:themeColor="text2" w:themeTint="99"/>
        <w:u w:val="none"/>
        <w:vertAlign w:val="baseline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lowerRoman"/>
      <w:lvlText w:val="%5."/>
      <w:lvlJc w:val="right"/>
      <w:pPr>
        <w:ind w:left="3600" w:hanging="360"/>
      </w:pPr>
      <w:rPr>
        <w:u w:val="none"/>
        <w:vertAlign w:val="baseline"/>
      </w:rPr>
    </w:lvl>
    <w:lvl w:ilvl="5">
      <w:start w:val="1"/>
      <w:numFmt w:val="decimal"/>
      <w:lvlText w:val="%6.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  <w:vertAlign w:val="baseli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  <w:vertAlign w:val="baseline"/>
      </w:rPr>
    </w:lvl>
  </w:abstractNum>
  <w:abstractNum w:abstractNumId="2" w15:restartNumberingAfterBreak="0">
    <w:nsid w:val="76AD2716"/>
    <w:multiLevelType w:val="multilevel"/>
    <w:tmpl w:val="7CF2B26E"/>
    <w:lvl w:ilvl="0">
      <w:start w:val="1"/>
      <w:numFmt w:val="bullet"/>
      <w:lvlText w:val="●"/>
      <w:lvlJc w:val="left"/>
      <w:pPr>
        <w:ind w:left="720" w:hanging="360"/>
      </w:pPr>
      <w:rPr>
        <w:u w:val="none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  <w:vertAlign w:val="baseli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  <w:vertAlign w:val="baseli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B94"/>
    <w:rsid w:val="000B4967"/>
    <w:rsid w:val="001B11CA"/>
    <w:rsid w:val="001C495F"/>
    <w:rsid w:val="002211A8"/>
    <w:rsid w:val="00275789"/>
    <w:rsid w:val="00324685"/>
    <w:rsid w:val="00353D0E"/>
    <w:rsid w:val="0039781B"/>
    <w:rsid w:val="00474E5B"/>
    <w:rsid w:val="004C38EF"/>
    <w:rsid w:val="00521E92"/>
    <w:rsid w:val="005E7E9D"/>
    <w:rsid w:val="006455E4"/>
    <w:rsid w:val="0066077E"/>
    <w:rsid w:val="006A1EEA"/>
    <w:rsid w:val="006A3B91"/>
    <w:rsid w:val="00784355"/>
    <w:rsid w:val="007D57C5"/>
    <w:rsid w:val="008517B5"/>
    <w:rsid w:val="0087131A"/>
    <w:rsid w:val="008D4061"/>
    <w:rsid w:val="008E7489"/>
    <w:rsid w:val="00940AB1"/>
    <w:rsid w:val="0098196F"/>
    <w:rsid w:val="00993473"/>
    <w:rsid w:val="009A73FD"/>
    <w:rsid w:val="009C7EA8"/>
    <w:rsid w:val="00A12B8A"/>
    <w:rsid w:val="00A63C58"/>
    <w:rsid w:val="00B44E27"/>
    <w:rsid w:val="00B45BC5"/>
    <w:rsid w:val="00BA538B"/>
    <w:rsid w:val="00BC02DB"/>
    <w:rsid w:val="00BD37FB"/>
    <w:rsid w:val="00C2176D"/>
    <w:rsid w:val="00C45B94"/>
    <w:rsid w:val="00C814B1"/>
    <w:rsid w:val="00CE365B"/>
    <w:rsid w:val="00DB7BCE"/>
    <w:rsid w:val="00E0137A"/>
    <w:rsid w:val="00F10021"/>
    <w:rsid w:val="00F230F3"/>
    <w:rsid w:val="00F36426"/>
    <w:rsid w:val="00FC176B"/>
    <w:rsid w:val="00FC19B4"/>
    <w:rsid w:val="00FF3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5A6A7C"/>
  <w15:docId w15:val="{BFF04D7A-8E7B-41C5-8D71-508328B1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36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4"/>
      <w:szCs w:val="24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pPr>
      <w:spacing w:after="360"/>
      <w:jc w:val="both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pPr>
      <w:spacing w:after="360"/>
      <w:jc w:val="both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pPr>
      <w:spacing w:after="360"/>
      <w:jc w:val="both"/>
    </w:pPr>
    <w:rPr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next w:val="TableNormal1"/>
    <w:pPr>
      <w:suppressAutoHyphens/>
      <w:spacing w:after="36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sz w:val="24"/>
      <w:szCs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extodebalo">
    <w:name w:val="Balloon Text"/>
    <w:basedOn w:val="Normal"/>
    <w:qFormat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rPr>
      <w:w w:val="100"/>
      <w:position w:val="-1"/>
      <w:effect w:val="none"/>
      <w:vertAlign w:val="baseline"/>
      <w:cs w:val="0"/>
      <w:em w:val="none"/>
    </w:rPr>
  </w:style>
  <w:style w:type="table" w:customStyle="1" w:styleId="a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2"/>
    <w:pPr>
      <w:spacing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39781B"/>
    <w:pPr>
      <w:suppressAutoHyphens w:val="0"/>
      <w:spacing w:after="0" w:line="240" w:lineRule="auto"/>
      <w:ind w:leftChars="0" w:left="0" w:firstLineChars="0" w:firstLine="0"/>
      <w:jc w:val="left"/>
      <w:textDirection w:val="lrTb"/>
      <w:textAlignment w:val="auto"/>
      <w:outlineLvl w:val="9"/>
    </w:pPr>
    <w:rPr>
      <w:rFonts w:ascii="Arial MT" w:eastAsia="Arial MT" w:hAnsi="Arial MT" w:cs="Arial MT"/>
      <w:position w:val="0"/>
      <w:sz w:val="22"/>
      <w:szCs w:val="22"/>
      <w:lang w:val="pt-PT" w:eastAsia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39781B"/>
    <w:rPr>
      <w:rFonts w:ascii="Arial MT" w:eastAsia="Arial MT" w:hAnsi="Arial MT" w:cs="Arial MT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34"/>
    <w:qFormat/>
    <w:rsid w:val="0098196F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98196F"/>
  </w:style>
  <w:style w:type="character" w:customStyle="1" w:styleId="markcomc9rl2z">
    <w:name w:val="markcomc9rl2z"/>
    <w:basedOn w:val="Fontepargpadro"/>
    <w:rsid w:val="00474E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73FC01C7AAB42B7BE08E60EBC12860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BC927868-A159-4257-A46F-33A4F20CA82E}"/>
      </w:docPartPr>
      <w:docPartBody>
        <w:p w:rsidR="00DE0E6F" w:rsidRDefault="00166F3F" w:rsidP="00166F3F">
          <w:pPr>
            <w:pStyle w:val="C73FC01C7AAB42B7BE08E60EBC12860A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F3F"/>
    <w:rsid w:val="00166F3F"/>
    <w:rsid w:val="00DE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166F3F"/>
  </w:style>
  <w:style w:type="paragraph" w:customStyle="1" w:styleId="C73FC01C7AAB42B7BE08E60EBC12860A">
    <w:name w:val="C73FC01C7AAB42B7BE08E60EBC12860A"/>
    <w:rsid w:val="00166F3F"/>
  </w:style>
  <w:style w:type="paragraph" w:customStyle="1" w:styleId="49833D0D96894870B29D55CBAD5A219D">
    <w:name w:val="49833D0D96894870B29D55CBAD5A219D"/>
    <w:rsid w:val="00166F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/9GdTd5dHo+tMlR6GFfvTrPcr7g==">AMUW2mXBFwgBq7WgbjsJwZjoDXNX9X34LBdbsf/CWw1S+Zg+RYlAmJz661A4XAM+7PXUgnMXMEBi71D8y7ne1MM8ya3jpQqXCazi6UbC1Ro/TqAsP0eyLn8=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3</Pages>
  <Words>783</Words>
  <Characters>4229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erico.kretzer@udesc.br</dc:creator>
  <cp:lastModifiedBy>CARINA VICENTE DE SANTI</cp:lastModifiedBy>
  <cp:revision>19</cp:revision>
  <dcterms:created xsi:type="dcterms:W3CDTF">2023-07-07T17:42:00Z</dcterms:created>
  <dcterms:modified xsi:type="dcterms:W3CDTF">2024-11-11T21:37:00Z</dcterms:modified>
</cp:coreProperties>
</file>